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997440" w:rsidRDefault="00997440">
      <w:pPr>
        <w:ind w:left="-142" w:right="-427"/>
        <w:rPr>
          <w:rFonts w:ascii="Times New Roman" w:hAnsi="Times New Roman"/>
          <w:b/>
          <w:sz w:val="36"/>
        </w:rPr>
      </w:pPr>
    </w:p>
    <w:tbl>
      <w:tblPr>
        <w:tblW w:w="864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225"/>
      </w:tblGrid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101EDD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101EDD">
              <w:rPr>
                <w:noProof/>
                <w:spacing w:val="6"/>
              </w:rPr>
              <w:t>3. april</w:t>
            </w:r>
            <w:r w:rsidR="00BD387E">
              <w:rPr>
                <w:noProof/>
                <w:spacing w:val="6"/>
              </w:rPr>
              <w:t xml:space="preserve"> 2017</w:t>
            </w:r>
          </w:p>
        </w:tc>
      </w:tr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44851" w:rsidP="00300DEC">
            <w:pPr>
              <w:pStyle w:val="Dokumenttekst"/>
            </w:pPr>
            <w:r>
              <w:t>Siljan kommunehus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101EDD">
            <w:pPr>
              <w:pStyle w:val="Dokumenttekst"/>
            </w:pPr>
            <w:r>
              <w:rPr>
                <w:color w:val="000000"/>
              </w:rPr>
              <w:t xml:space="preserve">Kjell </w:t>
            </w:r>
            <w:r w:rsidR="00944851">
              <w:rPr>
                <w:color w:val="000000"/>
              </w:rPr>
              <w:t>A. Sølverød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F83C47" w:rsidP="00BD3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="00944851" w:rsidRPr="00944851">
              <w:rPr>
                <w:rFonts w:ascii="Times New Roman" w:hAnsi="Times New Roman"/>
                <w:sz w:val="24"/>
              </w:rPr>
              <w:t>Hedda Foss Five</w:t>
            </w:r>
            <w:r w:rsidR="00944851">
              <w:rPr>
                <w:rFonts w:ascii="Times New Roman" w:hAnsi="Times New Roman"/>
                <w:sz w:val="24"/>
              </w:rPr>
              <w:t>,</w:t>
            </w:r>
            <w:bookmarkStart w:id="2" w:name="_GoBack"/>
            <w:bookmarkEnd w:id="2"/>
            <w:r w:rsidR="00944851" w:rsidRPr="00944851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Jone Blikra, H</w:t>
            </w:r>
            <w:r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BD387E">
              <w:rPr>
                <w:rFonts w:ascii="Times New Roman" w:hAnsi="Times New Roman"/>
                <w:color w:val="000000"/>
                <w:sz w:val="24"/>
                <w:lang w:eastAsia="en-US"/>
              </w:rPr>
              <w:t>Per Wold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Morten Næss,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3C5FA4" w:rsidRDefault="003C5FA4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2472B" w:rsidRPr="000C7865" w:rsidTr="00997440">
        <w:tc>
          <w:tcPr>
            <w:tcW w:w="8642" w:type="dxa"/>
            <w:shd w:val="clear" w:color="auto" w:fill="DBE5F1" w:themeFill="accent1" w:themeFillTint="33"/>
          </w:tcPr>
          <w:p w:rsidR="0002472B" w:rsidRPr="000C7865" w:rsidRDefault="0002472B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W w:w="86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</w:tblGrid>
      <w:tr w:rsidR="0002472B" w:rsidRPr="00877EC3" w:rsidTr="00997440">
        <w:trPr>
          <w:cantSplit/>
        </w:trPr>
        <w:tc>
          <w:tcPr>
            <w:tcW w:w="8643" w:type="dxa"/>
            <w:vAlign w:val="center"/>
          </w:tcPr>
          <w:p w:rsidR="0002472B" w:rsidRDefault="0002472B" w:rsidP="00D942B2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 w:rsidR="00A16B98">
              <w:rPr>
                <w:b/>
              </w:rPr>
              <w:t>16</w:t>
            </w:r>
            <w:r>
              <w:rPr>
                <w:b/>
              </w:rPr>
              <w:t>/17 Referat fra møte 27.1.2017</w:t>
            </w:r>
          </w:p>
          <w:p w:rsidR="0002472B" w:rsidRDefault="0002472B" w:rsidP="00D942B2">
            <w:pPr>
              <w:pStyle w:val="Dokumenttekst"/>
            </w:pPr>
          </w:p>
          <w:p w:rsidR="00F443C9" w:rsidRDefault="00F443C9" w:rsidP="00E67290">
            <w:pPr>
              <w:pStyle w:val="Dokumenttekst"/>
            </w:pPr>
            <w:r w:rsidRPr="00F443C9">
              <w:rPr>
                <w:b/>
              </w:rPr>
              <w:t>Konklusjon</w:t>
            </w:r>
            <w:r>
              <w:t>: Referatet godkjent.</w:t>
            </w:r>
          </w:p>
          <w:p w:rsidR="00E67290" w:rsidRPr="00877EC3" w:rsidRDefault="00E67290" w:rsidP="00E67290">
            <w:pPr>
              <w:pStyle w:val="Dokumenttekst"/>
              <w:rPr>
                <w:b/>
              </w:rPr>
            </w:pPr>
          </w:p>
        </w:tc>
      </w:tr>
      <w:tr w:rsidR="0002472B" w:rsidRPr="00877EC3" w:rsidTr="00997440">
        <w:trPr>
          <w:cantSplit/>
        </w:trPr>
        <w:tc>
          <w:tcPr>
            <w:tcW w:w="8643" w:type="dxa"/>
            <w:vAlign w:val="center"/>
          </w:tcPr>
          <w:p w:rsidR="0002472B" w:rsidRDefault="00A16B98" w:rsidP="00D942B2">
            <w:pPr>
              <w:pStyle w:val="Dokumenttekst"/>
              <w:rPr>
                <w:b/>
              </w:rPr>
            </w:pPr>
            <w:r>
              <w:rPr>
                <w:b/>
              </w:rPr>
              <w:t>Sak 17</w:t>
            </w:r>
            <w:r w:rsidR="0002472B">
              <w:rPr>
                <w:b/>
              </w:rPr>
              <w:t>/17 Orienteringssaker/aktuelle regionale saker</w:t>
            </w:r>
          </w:p>
          <w:p w:rsidR="00F443C9" w:rsidRDefault="00F443C9" w:rsidP="00D942B2">
            <w:pPr>
              <w:pStyle w:val="Dokumenttekst"/>
              <w:rPr>
                <w:b/>
              </w:rPr>
            </w:pPr>
          </w:p>
          <w:p w:rsidR="00467AEB" w:rsidRDefault="00A16B98" w:rsidP="00D942B2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Rapport fra nasjonal nettverkssamling i Ålesund – Byregionprogrammet. </w:t>
            </w:r>
          </w:p>
          <w:p w:rsidR="00A16B98" w:rsidRDefault="00A16B98" w:rsidP="00D942B2">
            <w:pPr>
              <w:pStyle w:val="Dokumenttekst"/>
              <w:rPr>
                <w:b/>
              </w:rPr>
            </w:pPr>
          </w:p>
          <w:p w:rsidR="00A16B98" w:rsidRPr="0006774F" w:rsidRDefault="00A16B98" w:rsidP="00D942B2">
            <w:pPr>
              <w:pStyle w:val="Dokumenttekst"/>
            </w:pPr>
            <w:r>
              <w:rPr>
                <w:b/>
              </w:rPr>
              <w:t xml:space="preserve">Sivilforsvaret – høringssak </w:t>
            </w:r>
            <w:r w:rsidRPr="0006774F">
              <w:t xml:space="preserve">– felles </w:t>
            </w:r>
            <w:r w:rsidR="0006774F" w:rsidRPr="0006774F">
              <w:t>høringsuttalelse forberedes til Grenlandsrådet 2. mai. Tor Peder orienterte kort om innholdet i høringsforslaget.</w:t>
            </w:r>
          </w:p>
          <w:p w:rsidR="005845D1" w:rsidRDefault="005845D1" w:rsidP="005845D1">
            <w:pPr>
              <w:pStyle w:val="Dokumenttekst"/>
            </w:pPr>
          </w:p>
          <w:p w:rsidR="005845D1" w:rsidRPr="005845D1" w:rsidRDefault="005845D1" w:rsidP="005845D1">
            <w:pPr>
              <w:pStyle w:val="Dokumenttekst"/>
              <w:rPr>
                <w:b/>
              </w:rPr>
            </w:pPr>
            <w:r w:rsidRPr="005845D1">
              <w:rPr>
                <w:b/>
              </w:rPr>
              <w:t>Felles retningslinjer mot sosial dumping – «Skiensmodellen» - status og prosess vedr politisk behandling.</w:t>
            </w:r>
            <w:r>
              <w:rPr>
                <w:b/>
              </w:rPr>
              <w:t xml:space="preserve"> – Utgikk.</w:t>
            </w:r>
          </w:p>
          <w:p w:rsidR="00467AEB" w:rsidRDefault="00467AEB" w:rsidP="00D942B2">
            <w:pPr>
              <w:pStyle w:val="Dokumenttekst"/>
              <w:rPr>
                <w:b/>
              </w:rPr>
            </w:pPr>
          </w:p>
          <w:p w:rsidR="00467AEB" w:rsidRPr="00467AEB" w:rsidRDefault="00467AEB" w:rsidP="00D942B2">
            <w:pPr>
              <w:pStyle w:val="Dokumenttekst"/>
            </w:pPr>
            <w:r>
              <w:rPr>
                <w:b/>
              </w:rPr>
              <w:t xml:space="preserve">Bompenger E18 – </w:t>
            </w:r>
            <w:r w:rsidRPr="00467AEB">
              <w:t xml:space="preserve">kort </w:t>
            </w:r>
            <w:r w:rsidR="00A16B98">
              <w:t>orientering om møter og behandling i de aktuelle kommunene</w:t>
            </w:r>
            <w:r w:rsidRPr="00467AEB">
              <w:t xml:space="preserve">. </w:t>
            </w:r>
          </w:p>
          <w:p w:rsidR="00467AEB" w:rsidRDefault="00F443C9" w:rsidP="00D942B2">
            <w:pPr>
              <w:pStyle w:val="Dokumenttekst"/>
            </w:pPr>
            <w:r>
              <w:t xml:space="preserve">Nye Veier AS inviteres til Grenlandsrådet/formannskapssamling den 2. mai. Det forberedes konkrete spørsmål e.l. knyttet til aktuelle temaer for kommunene </w:t>
            </w:r>
            <w:proofErr w:type="spellStart"/>
            <w:r>
              <w:t>bl.a</w:t>
            </w:r>
            <w:proofErr w:type="spellEnd"/>
            <w:r>
              <w:t xml:space="preserve"> bompenger.</w:t>
            </w:r>
          </w:p>
          <w:p w:rsidR="00A16B98" w:rsidRPr="00467AEB" w:rsidRDefault="00A16B98" w:rsidP="00D942B2">
            <w:pPr>
              <w:pStyle w:val="Dokumenttekst"/>
            </w:pPr>
            <w:r>
              <w:t>Kort rapport fra møte</w:t>
            </w:r>
            <w:r w:rsidR="003C5FA4">
              <w:t>t</w:t>
            </w:r>
            <w:r>
              <w:t xml:space="preserve"> med samferdselsministeren vedr Nye Veier AS. </w:t>
            </w:r>
          </w:p>
          <w:p w:rsidR="0002472B" w:rsidRPr="00877EC3" w:rsidRDefault="0002472B" w:rsidP="00D942B2">
            <w:pPr>
              <w:pStyle w:val="Dokumenttekst"/>
              <w:rPr>
                <w:b/>
              </w:rPr>
            </w:pPr>
          </w:p>
        </w:tc>
      </w:tr>
      <w:tr w:rsidR="005845D1" w:rsidTr="00997440">
        <w:trPr>
          <w:cantSplit/>
        </w:trPr>
        <w:tc>
          <w:tcPr>
            <w:tcW w:w="8643" w:type="dxa"/>
            <w:vAlign w:val="center"/>
          </w:tcPr>
          <w:p w:rsidR="005845D1" w:rsidRDefault="005845D1" w:rsidP="005845D1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>Sak 18/17 Videreutvikling av næringssamarbeidet</w:t>
            </w:r>
          </w:p>
          <w:p w:rsidR="005845D1" w:rsidRDefault="005845D1" w:rsidP="005845D1">
            <w:pPr>
              <w:pStyle w:val="Dokumenttekst"/>
            </w:pPr>
            <w:r w:rsidRPr="00D87CD8">
              <w:t>Fremleggelse av rapport med forslag fra rådmannskollegiet.</w:t>
            </w:r>
            <w:r>
              <w:br/>
              <w:t xml:space="preserve">Ordførerkollegiet </w:t>
            </w:r>
            <w:r w:rsidR="00E67290">
              <w:t>t</w:t>
            </w:r>
            <w:r>
              <w:t xml:space="preserve">ok stilling til videre prosess og politisk behandling. </w:t>
            </w:r>
          </w:p>
          <w:p w:rsidR="00C125C1" w:rsidRPr="00E67290" w:rsidRDefault="00C125C1" w:rsidP="005845D1">
            <w:pPr>
              <w:pStyle w:val="Dokumenttekst"/>
              <w:rPr>
                <w:b/>
              </w:rPr>
            </w:pPr>
          </w:p>
          <w:p w:rsidR="00C125C1" w:rsidRPr="00D87CD8" w:rsidRDefault="00C125C1" w:rsidP="005845D1">
            <w:pPr>
              <w:pStyle w:val="Dokumenttekst"/>
            </w:pPr>
            <w:r w:rsidRPr="00E67290">
              <w:rPr>
                <w:b/>
              </w:rPr>
              <w:t>Konklusjon:</w:t>
            </w:r>
            <w:r>
              <w:t xml:space="preserve"> </w:t>
            </w:r>
            <w:r w:rsidR="00E67290">
              <w:br/>
              <w:t>Ordførerkollegiet ber rådmennene og sekretariatet jobb videre med saken ut i fra de signal</w:t>
            </w:r>
            <w:r w:rsidR="003C5FA4">
              <w:t xml:space="preserve">ene som kom fram i møtet. Enighet om at saken krever noe mer tid. </w:t>
            </w:r>
            <w:r w:rsidR="000C6711">
              <w:t>Det tas sikte på å ferdigstille saken høsten 2017.</w:t>
            </w:r>
          </w:p>
          <w:p w:rsidR="005845D1" w:rsidRDefault="005845D1" w:rsidP="005845D1">
            <w:pPr>
              <w:pStyle w:val="Dokumenttekst"/>
              <w:rPr>
                <w:b/>
              </w:rPr>
            </w:pPr>
          </w:p>
        </w:tc>
      </w:tr>
      <w:tr w:rsidR="005845D1" w:rsidRPr="00DA0C0E" w:rsidTr="00997440">
        <w:trPr>
          <w:cantSplit/>
        </w:trPr>
        <w:tc>
          <w:tcPr>
            <w:tcW w:w="8643" w:type="dxa"/>
            <w:vAlign w:val="center"/>
          </w:tcPr>
          <w:p w:rsidR="005845D1" w:rsidRPr="006D7E4A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1185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19/17 Styrket Grenlandssamarbeid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6D7E4A">
              <w:rPr>
                <w:rFonts w:ascii="Times New Roman" w:hAnsi="Times New Roman"/>
                <w:sz w:val="24"/>
              </w:rPr>
              <w:t xml:space="preserve">Følgende saker </w:t>
            </w:r>
            <w:r w:rsidR="00E67290">
              <w:rPr>
                <w:rFonts w:ascii="Times New Roman" w:hAnsi="Times New Roman"/>
                <w:sz w:val="24"/>
              </w:rPr>
              <w:t>oversendt i forkant av møtet</w:t>
            </w:r>
            <w:r w:rsidRPr="006D7E4A">
              <w:rPr>
                <w:rFonts w:ascii="Times New Roman" w:hAnsi="Times New Roman"/>
                <w:sz w:val="24"/>
              </w:rPr>
              <w:t>:</w:t>
            </w:r>
            <w:r w:rsidRPr="006D7E4A">
              <w:rPr>
                <w:rFonts w:ascii="Times New Roman" w:hAnsi="Times New Roman"/>
                <w:sz w:val="24"/>
              </w:rPr>
              <w:br/>
            </w:r>
            <w:r w:rsidRPr="006D7E4A">
              <w:rPr>
                <w:rFonts w:ascii="Times New Roman" w:hAnsi="Times New Roman"/>
              </w:rPr>
              <w:t>•</w:t>
            </w:r>
            <w:r w:rsidRPr="006D7E4A">
              <w:rPr>
                <w:rFonts w:ascii="Times New Roman" w:hAnsi="Times New Roman"/>
              </w:rPr>
              <w:tab/>
              <w:t xml:space="preserve">Oppdatert notat om status og framdrift for prosessen ligger vedlagt, herunder vedtak i prosjektgruppa om styringsdokumenter og handlingsplan/handlingsprogram. </w:t>
            </w:r>
          </w:p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7E4A">
              <w:rPr>
                <w:rFonts w:ascii="Times New Roman" w:hAnsi="Times New Roman"/>
              </w:rPr>
              <w:t>•</w:t>
            </w:r>
            <w:r w:rsidRPr="006D7E4A">
              <w:rPr>
                <w:rFonts w:ascii="Times New Roman" w:hAnsi="Times New Roman"/>
              </w:rPr>
              <w:tab/>
              <w:t>Disse to sakene fremmes for Grenlandsrådet som styringsgruppe den 2.5. For ordens skyld legges forslag til saksframlegg ved, sammen med vedlegge</w:t>
            </w:r>
            <w:r>
              <w:rPr>
                <w:rFonts w:ascii="Times New Roman" w:hAnsi="Times New Roman"/>
              </w:rPr>
              <w:t>ne.</w:t>
            </w:r>
          </w:p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0C6711" w:rsidRDefault="000C671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Konklusjon: </w:t>
            </w:r>
          </w:p>
          <w:p w:rsidR="000C6711" w:rsidRDefault="00550DB8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Utarbeidet saksframlegg til styringsgruppens (Grenlandsrådet) møte den 2. mai godkjent. </w:t>
            </w:r>
          </w:p>
          <w:p w:rsidR="00550DB8" w:rsidRPr="000C6711" w:rsidRDefault="00550DB8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Saken vedr nye styringsdokumenter for Grenlandssamarbeidet</w:t>
            </w:r>
            <w:r w:rsidR="00CF33FF">
              <w:rPr>
                <w:rFonts w:ascii="Times New Roman" w:hAnsi="Times New Roman"/>
              </w:rPr>
              <w:t xml:space="preserve"> drøftes og forankres i felles formannskapssamling den 2.-3. mai, før saken går til endelig politisk behandling i kommunene. </w:t>
            </w:r>
          </w:p>
          <w:p w:rsidR="000C6711" w:rsidRPr="00071185" w:rsidRDefault="000C671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5845D1" w:rsidTr="00391A15">
        <w:trPr>
          <w:cantSplit/>
        </w:trPr>
        <w:tc>
          <w:tcPr>
            <w:tcW w:w="8643" w:type="dxa"/>
          </w:tcPr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6D7E4A">
              <w:rPr>
                <w:rFonts w:ascii="Times New Roman" w:hAnsi="Times New Roman"/>
                <w:b/>
                <w:sz w:val="24"/>
              </w:rPr>
              <w:t xml:space="preserve">Sak 20/17 Grenlandsråd 2. mai og felles formannskapssamling 2.-3. mai – forberedelse </w:t>
            </w:r>
          </w:p>
          <w:p w:rsidR="00CF33FF" w:rsidRDefault="00CF33FF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Ordførerkollegiet drøftet saksliste for neste Grenlandsråd og </w:t>
            </w:r>
            <w:r w:rsidR="00111653">
              <w:rPr>
                <w:rFonts w:ascii="Times New Roman" w:hAnsi="Times New Roman"/>
                <w:sz w:val="24"/>
              </w:rPr>
              <w:t xml:space="preserve">opplegg for felles formannskapssamling. 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Felles formannskapssamling avholdes fra kl. 13.00 den 2. mai til kl. 13.00 den 3. mai. 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11653">
              <w:rPr>
                <w:rFonts w:ascii="Times New Roman" w:hAnsi="Times New Roman"/>
                <w:i/>
                <w:sz w:val="24"/>
              </w:rPr>
              <w:t>Tema: Styrket kommunesamarbeid i Grenland</w:t>
            </w:r>
            <w:r>
              <w:rPr>
                <w:rFonts w:ascii="Times New Roman" w:hAnsi="Times New Roman"/>
                <w:sz w:val="24"/>
              </w:rPr>
              <w:br/>
            </w:r>
            <w:r w:rsidRPr="00111653">
              <w:rPr>
                <w:rFonts w:ascii="Times New Roman" w:hAnsi="Times New Roman"/>
                <w:i/>
                <w:sz w:val="24"/>
              </w:rPr>
              <w:t>Fokus dag 1</w:t>
            </w:r>
            <w:r>
              <w:rPr>
                <w:rFonts w:ascii="Times New Roman" w:hAnsi="Times New Roman"/>
                <w:sz w:val="24"/>
              </w:rPr>
              <w:t xml:space="preserve">; samarbeid om samfunnsutvikling 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Her forespørres Bane Nor om å orientere om planene og utbyggingen av IC.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Videre settes Sykehuset Telemark opp som tema. 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legges opp til workshop/gruppediskusjoner rundt nye styringsdokumenter for Grenlandssamarbeidet og Nedre Telemark regionråd.</w:t>
            </w:r>
          </w:p>
          <w:p w:rsidR="00111653" w:rsidRDefault="00111653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11653">
              <w:rPr>
                <w:rFonts w:ascii="Times New Roman" w:hAnsi="Times New Roman"/>
                <w:i/>
                <w:sz w:val="24"/>
              </w:rPr>
              <w:t>Fokus dag 2;</w:t>
            </w:r>
            <w:r>
              <w:rPr>
                <w:rFonts w:ascii="Times New Roman" w:hAnsi="Times New Roman"/>
                <w:sz w:val="24"/>
              </w:rPr>
              <w:t xml:space="preserve"> samarbeid om tjenesteyting. </w:t>
            </w:r>
          </w:p>
          <w:p w:rsidR="00CF33FF" w:rsidRDefault="001E0F9C" w:rsidP="00111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F9C">
              <w:rPr>
                <w:rFonts w:ascii="Times New Roman" w:hAnsi="Times New Roman"/>
                <w:sz w:val="24"/>
              </w:rPr>
              <w:t xml:space="preserve">Forslag til 4-årig plan og handlingsplan for 2017 for Grenlandssamarbeidet. </w:t>
            </w:r>
          </w:p>
          <w:p w:rsidR="001E0F9C" w:rsidRDefault="001E0F9C" w:rsidP="00111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E0F9C" w:rsidRPr="001E0F9C" w:rsidRDefault="001E0F9C" w:rsidP="001116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E0F9C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1E0F9C" w:rsidRDefault="001E0F9C" w:rsidP="00111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Sekretariatet oversender forslag til saksliste og opplegg for møtene så snart som mulig. </w:t>
            </w:r>
          </w:p>
          <w:p w:rsidR="001E0F9C" w:rsidRPr="001E0F9C" w:rsidRDefault="001E0F9C" w:rsidP="00111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5845D1" w:rsidTr="00391A15">
        <w:trPr>
          <w:cantSplit/>
        </w:trPr>
        <w:tc>
          <w:tcPr>
            <w:tcW w:w="8643" w:type="dxa"/>
          </w:tcPr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21/17 </w:t>
            </w:r>
            <w:r w:rsidRPr="00D87CD8">
              <w:rPr>
                <w:rFonts w:ascii="Times New Roman" w:hAnsi="Times New Roman"/>
                <w:b/>
                <w:sz w:val="24"/>
              </w:rPr>
              <w:t>Flytting av statl</w:t>
            </w:r>
            <w:r>
              <w:rPr>
                <w:rFonts w:ascii="Times New Roman" w:hAnsi="Times New Roman"/>
                <w:b/>
                <w:sz w:val="24"/>
              </w:rPr>
              <w:t>ige arbeidsplasse</w:t>
            </w:r>
            <w:r w:rsidRPr="00D87CD8">
              <w:rPr>
                <w:rFonts w:ascii="Times New Roman" w:hAnsi="Times New Roman"/>
                <w:b/>
                <w:sz w:val="24"/>
              </w:rPr>
              <w:t>r - Vestfold og Telemark statsadvokatembeter</w:t>
            </w:r>
          </w:p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7CD8">
              <w:rPr>
                <w:rFonts w:ascii="Times New Roman" w:hAnsi="Times New Roman"/>
                <w:sz w:val="24"/>
              </w:rPr>
              <w:t xml:space="preserve">Behandling av forslag til brev fra ordførerne i Telemark. </w:t>
            </w:r>
            <w:r>
              <w:rPr>
                <w:rFonts w:ascii="Times New Roman" w:hAnsi="Times New Roman"/>
                <w:sz w:val="24"/>
              </w:rPr>
              <w:t>Se vedlegg og epost fra Robin.</w:t>
            </w:r>
          </w:p>
          <w:p w:rsidR="001E0F9C" w:rsidRP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1E0F9C" w:rsidRP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E0F9C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1E0F9C" w:rsidRPr="001E0F9C" w:rsidRDefault="001E0F9C" w:rsidP="001E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F9C">
              <w:rPr>
                <w:rFonts w:ascii="Times New Roman" w:hAnsi="Times New Roman"/>
                <w:sz w:val="24"/>
              </w:rPr>
              <w:t xml:space="preserve">Ordførerkollegiet i Grenland takker for initiativet vedr flytting av kontorsted for statsadvokatembetet og slutter seg til brevet utarbeidet av ordfører i Tokke kommune. </w:t>
            </w:r>
          </w:p>
          <w:p w:rsidR="001E0F9C" w:rsidRPr="00D87CD8" w:rsidRDefault="001E0F9C" w:rsidP="001E0F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F9C">
              <w:rPr>
                <w:rFonts w:ascii="Times New Roman" w:hAnsi="Times New Roman"/>
                <w:sz w:val="24"/>
              </w:rPr>
              <w:t>Ordfører i Skien Hedda Foss Five vil ta kontakt med sikte på koordinering og nærmere planlegging av møte med justisministeren om saken.</w:t>
            </w:r>
          </w:p>
        </w:tc>
      </w:tr>
      <w:tr w:rsidR="005845D1" w:rsidTr="00391A15">
        <w:trPr>
          <w:cantSplit/>
        </w:trPr>
        <w:tc>
          <w:tcPr>
            <w:tcW w:w="8643" w:type="dxa"/>
            <w:vAlign w:val="center"/>
          </w:tcPr>
          <w:p w:rsidR="005845D1" w:rsidRDefault="005845D1" w:rsidP="005845D1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>Sak 22/17 Høringssaker</w:t>
            </w:r>
          </w:p>
          <w:p w:rsidR="001E0F9C" w:rsidRPr="001E0F9C" w:rsidRDefault="001E0F9C" w:rsidP="005845D1">
            <w:pPr>
              <w:pStyle w:val="Dokumenttekst"/>
            </w:pPr>
            <w:r w:rsidRPr="001E0F9C">
              <w:t xml:space="preserve">Se vedr Sivilforsvaret under orienteringssaker. </w:t>
            </w:r>
          </w:p>
          <w:p w:rsidR="001E0F9C" w:rsidRPr="001E0F9C" w:rsidRDefault="001E0F9C" w:rsidP="005845D1">
            <w:pPr>
              <w:pStyle w:val="Dokumenttekst"/>
            </w:pPr>
            <w:r w:rsidRPr="001E0F9C">
              <w:t xml:space="preserve">Ingen øvrige høringssaker. </w:t>
            </w:r>
          </w:p>
          <w:p w:rsidR="001E0F9C" w:rsidRPr="00DA0C0E" w:rsidRDefault="001E0F9C" w:rsidP="005845D1">
            <w:pPr>
              <w:pStyle w:val="Dokumenttekst"/>
              <w:rPr>
                <w:b/>
              </w:rPr>
            </w:pPr>
          </w:p>
        </w:tc>
      </w:tr>
      <w:tr w:rsidR="005845D1" w:rsidTr="00391A15">
        <w:trPr>
          <w:cantSplit/>
        </w:trPr>
        <w:tc>
          <w:tcPr>
            <w:tcW w:w="8643" w:type="dxa"/>
            <w:vAlign w:val="center"/>
          </w:tcPr>
          <w:p w:rsidR="005845D1" w:rsidRDefault="005845D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23/17 Eventuelt</w:t>
            </w:r>
          </w:p>
          <w:p w:rsid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1E0F9C" w:rsidRP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Henvendelse fra ordfører i Larvik vedr politihøgskolen i Stavern </w:t>
            </w:r>
            <w:r w:rsidRPr="001E0F9C">
              <w:rPr>
                <w:rFonts w:ascii="Times New Roman" w:hAnsi="Times New Roman"/>
                <w:sz w:val="24"/>
              </w:rPr>
              <w:t xml:space="preserve">var oversendt i forkant av møtet. </w:t>
            </w:r>
          </w:p>
          <w:p w:rsid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F9C">
              <w:rPr>
                <w:rFonts w:ascii="Times New Roman" w:hAnsi="Times New Roman"/>
                <w:sz w:val="24"/>
              </w:rPr>
              <w:t xml:space="preserve">Ordførerne ønsker å støtte Larvik i saken og det utarbeides et brev med dette budskap. Hallgeir og Robin tar ansvar for dette. </w:t>
            </w:r>
          </w:p>
          <w:p w:rsid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E0F9C">
              <w:rPr>
                <w:rFonts w:ascii="Times New Roman" w:hAnsi="Times New Roman"/>
                <w:b/>
                <w:sz w:val="24"/>
              </w:rPr>
              <w:t>Bane Nor – utbygging av IC</w:t>
            </w:r>
            <w:r>
              <w:rPr>
                <w:rFonts w:ascii="Times New Roman" w:hAnsi="Times New Roman"/>
                <w:sz w:val="24"/>
              </w:rPr>
              <w:t xml:space="preserve"> – det forespørres om Grenlands deltakelse i Plattform Vestfold kan utvides med Kragerø og Bamble.  Jone Blikra sørger for at det utarbeides et forslag til prosess vedr. Grenlands aktive deltakelse rundt IC utbyggingen og fremtidig Grenlandsbane. </w:t>
            </w:r>
            <w:r w:rsidR="00944851">
              <w:rPr>
                <w:rFonts w:ascii="Times New Roman" w:hAnsi="Times New Roman"/>
                <w:sz w:val="24"/>
              </w:rPr>
              <w:t xml:space="preserve">Orientering fra og mulighet for spørsmål til Bane Nor i felles formannskapssamling den 2. mai tas med som en del av denne prosessen. </w:t>
            </w:r>
          </w:p>
          <w:p w:rsidR="00944851" w:rsidRDefault="0094485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44851" w:rsidRDefault="0094485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44851">
              <w:rPr>
                <w:rFonts w:ascii="Times New Roman" w:hAnsi="Times New Roman"/>
                <w:b/>
                <w:sz w:val="24"/>
              </w:rPr>
              <w:t xml:space="preserve">Idrettsanlegg </w:t>
            </w:r>
            <w:r>
              <w:rPr>
                <w:rFonts w:ascii="Times New Roman" w:hAnsi="Times New Roman"/>
                <w:sz w:val="24"/>
              </w:rPr>
              <w:t xml:space="preserve">– samarbeid om store anlegg av regional betydning. Ønske om at dette ses nærmere på som en oppfølging av møtet avholdt av TFK om temaet. </w:t>
            </w:r>
          </w:p>
          <w:p w:rsidR="00944851" w:rsidRDefault="0094485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44851" w:rsidRDefault="00944851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Enighet om at </w:t>
            </w:r>
            <w:r w:rsidRPr="00944851">
              <w:rPr>
                <w:rFonts w:ascii="Times New Roman" w:hAnsi="Times New Roman"/>
                <w:b/>
                <w:sz w:val="24"/>
              </w:rPr>
              <w:t>evaluering av eget møte</w:t>
            </w:r>
            <w:r>
              <w:rPr>
                <w:rFonts w:ascii="Times New Roman" w:hAnsi="Times New Roman"/>
                <w:sz w:val="24"/>
              </w:rPr>
              <w:t xml:space="preserve"> og samarbeidsforum settes opp som et eget og siste punkt på dagsorden i Ordførerkollegiets møter. Dette gjennomføres som en runde rundt bordet. </w:t>
            </w:r>
          </w:p>
          <w:p w:rsidR="001E0F9C" w:rsidRDefault="001E0F9C" w:rsidP="005845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E421BB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E421BB">
        <w:rPr>
          <w:rFonts w:ascii="Times New Roman" w:hAnsi="Times New Roman"/>
          <w:b/>
          <w:sz w:val="24"/>
        </w:rPr>
        <w:t>2. mai 2017.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Fellessamling formannskapene 2.-3. mai 2017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møte i Ordførerkollegiet: </w:t>
      </w:r>
      <w:r w:rsidR="009D06F5">
        <w:rPr>
          <w:rFonts w:ascii="Times New Roman" w:hAnsi="Times New Roman"/>
          <w:b/>
          <w:sz w:val="24"/>
        </w:rPr>
        <w:t>fredag 5. mai</w:t>
      </w:r>
      <w:r>
        <w:rPr>
          <w:rFonts w:ascii="Times New Roman" w:hAnsi="Times New Roman"/>
          <w:b/>
          <w:sz w:val="24"/>
        </w:rPr>
        <w:t xml:space="preserve"> kl. 9 – 12 i </w:t>
      </w:r>
      <w:r w:rsidR="009D06F5">
        <w:rPr>
          <w:rFonts w:ascii="Times New Roman" w:hAnsi="Times New Roman"/>
          <w:b/>
          <w:sz w:val="24"/>
        </w:rPr>
        <w:t>Kragerø</w:t>
      </w:r>
      <w:r>
        <w:rPr>
          <w:rFonts w:ascii="Times New Roman" w:hAnsi="Times New Roman"/>
          <w:b/>
          <w:sz w:val="24"/>
        </w:rPr>
        <w:t>.</w:t>
      </w:r>
    </w:p>
    <w:sectPr w:rsidR="00E421BB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B2" w:rsidRDefault="00D942B2">
      <w:r>
        <w:separator/>
      </w:r>
    </w:p>
  </w:endnote>
  <w:endnote w:type="continuationSeparator" w:id="0">
    <w:p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B2" w:rsidRDefault="00D942B2">
      <w:r>
        <w:separator/>
      </w:r>
    </w:p>
  </w:footnote>
  <w:footnote w:type="continuationSeparator" w:id="0">
    <w:p w:rsidR="00D942B2" w:rsidRDefault="00D9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ABD"/>
    <w:multiLevelType w:val="hybridMultilevel"/>
    <w:tmpl w:val="9FC6E44A"/>
    <w:lvl w:ilvl="0" w:tplc="F60A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271"/>
    <w:multiLevelType w:val="hybridMultilevel"/>
    <w:tmpl w:val="1576D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266AC"/>
    <w:multiLevelType w:val="hybridMultilevel"/>
    <w:tmpl w:val="606C88B2"/>
    <w:lvl w:ilvl="0" w:tplc="95C42B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83306"/>
    <w:multiLevelType w:val="hybridMultilevel"/>
    <w:tmpl w:val="43B03D88"/>
    <w:lvl w:ilvl="0" w:tplc="95C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"/>
  </w:num>
  <w:num w:numId="10">
    <w:abstractNumId w:val="2"/>
  </w:num>
  <w:num w:numId="11">
    <w:abstractNumId w:val="19"/>
  </w:num>
  <w:num w:numId="12">
    <w:abstractNumId w:val="15"/>
  </w:num>
  <w:num w:numId="13">
    <w:abstractNumId w:val="4"/>
  </w:num>
  <w:num w:numId="14">
    <w:abstractNumId w:val="24"/>
  </w:num>
  <w:num w:numId="15">
    <w:abstractNumId w:val="10"/>
  </w:num>
  <w:num w:numId="16">
    <w:abstractNumId w:val="21"/>
  </w:num>
  <w:num w:numId="17">
    <w:abstractNumId w:val="26"/>
  </w:num>
  <w:num w:numId="18">
    <w:abstractNumId w:val="18"/>
  </w:num>
  <w:num w:numId="19">
    <w:abstractNumId w:val="18"/>
  </w:num>
  <w:num w:numId="20">
    <w:abstractNumId w:val="14"/>
  </w:num>
  <w:num w:numId="21">
    <w:abstractNumId w:val="7"/>
  </w:num>
  <w:num w:numId="22">
    <w:abstractNumId w:val="9"/>
  </w:num>
  <w:num w:numId="23">
    <w:abstractNumId w:val="20"/>
  </w:num>
  <w:num w:numId="24">
    <w:abstractNumId w:val="12"/>
  </w:num>
  <w:num w:numId="25">
    <w:abstractNumId w:val="22"/>
  </w:num>
  <w:num w:numId="26">
    <w:abstractNumId w:val="5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472B"/>
    <w:rsid w:val="000261B9"/>
    <w:rsid w:val="00026E28"/>
    <w:rsid w:val="00035A54"/>
    <w:rsid w:val="00065854"/>
    <w:rsid w:val="0006774F"/>
    <w:rsid w:val="000712F2"/>
    <w:rsid w:val="000736AD"/>
    <w:rsid w:val="0007700D"/>
    <w:rsid w:val="0007746F"/>
    <w:rsid w:val="00083A67"/>
    <w:rsid w:val="00096411"/>
    <w:rsid w:val="000A2878"/>
    <w:rsid w:val="000A5492"/>
    <w:rsid w:val="000A7758"/>
    <w:rsid w:val="000B11BA"/>
    <w:rsid w:val="000B4F19"/>
    <w:rsid w:val="000B5527"/>
    <w:rsid w:val="000C40D8"/>
    <w:rsid w:val="000C6711"/>
    <w:rsid w:val="000C7865"/>
    <w:rsid w:val="000D370D"/>
    <w:rsid w:val="000D6B24"/>
    <w:rsid w:val="000E023B"/>
    <w:rsid w:val="000E2568"/>
    <w:rsid w:val="000F6FF6"/>
    <w:rsid w:val="00101EDD"/>
    <w:rsid w:val="00103E19"/>
    <w:rsid w:val="00111653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92CA6"/>
    <w:rsid w:val="00197CD8"/>
    <w:rsid w:val="001A063B"/>
    <w:rsid w:val="001A53C7"/>
    <w:rsid w:val="001B2726"/>
    <w:rsid w:val="001C236E"/>
    <w:rsid w:val="001D1781"/>
    <w:rsid w:val="001D1EFB"/>
    <w:rsid w:val="001E0F9C"/>
    <w:rsid w:val="00202686"/>
    <w:rsid w:val="00206CC1"/>
    <w:rsid w:val="002077C6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C2FF0"/>
    <w:rsid w:val="002D05D7"/>
    <w:rsid w:val="002F01A5"/>
    <w:rsid w:val="00300126"/>
    <w:rsid w:val="00300DEC"/>
    <w:rsid w:val="003015A8"/>
    <w:rsid w:val="00303A54"/>
    <w:rsid w:val="003166E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C5FA4"/>
    <w:rsid w:val="003E0314"/>
    <w:rsid w:val="003F1DE2"/>
    <w:rsid w:val="00400B1A"/>
    <w:rsid w:val="00402E22"/>
    <w:rsid w:val="004044E9"/>
    <w:rsid w:val="00412CCC"/>
    <w:rsid w:val="004158B9"/>
    <w:rsid w:val="00421A50"/>
    <w:rsid w:val="00423A42"/>
    <w:rsid w:val="00426914"/>
    <w:rsid w:val="0044536F"/>
    <w:rsid w:val="00447875"/>
    <w:rsid w:val="00457721"/>
    <w:rsid w:val="0045780D"/>
    <w:rsid w:val="00461CBD"/>
    <w:rsid w:val="00467AEB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0DB8"/>
    <w:rsid w:val="00554E9D"/>
    <w:rsid w:val="00556DA5"/>
    <w:rsid w:val="0056042F"/>
    <w:rsid w:val="00560AC1"/>
    <w:rsid w:val="00567302"/>
    <w:rsid w:val="00582718"/>
    <w:rsid w:val="005845D1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0DD1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46A6"/>
    <w:rsid w:val="00825038"/>
    <w:rsid w:val="00864B59"/>
    <w:rsid w:val="00866256"/>
    <w:rsid w:val="00871C55"/>
    <w:rsid w:val="0087451F"/>
    <w:rsid w:val="0088067A"/>
    <w:rsid w:val="008A2B7C"/>
    <w:rsid w:val="008B4D47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045A"/>
    <w:rsid w:val="00912A5E"/>
    <w:rsid w:val="00912B55"/>
    <w:rsid w:val="00937CDD"/>
    <w:rsid w:val="00940D69"/>
    <w:rsid w:val="00944851"/>
    <w:rsid w:val="009640A0"/>
    <w:rsid w:val="009849AE"/>
    <w:rsid w:val="009918CB"/>
    <w:rsid w:val="0099443A"/>
    <w:rsid w:val="00997440"/>
    <w:rsid w:val="009C50B5"/>
    <w:rsid w:val="009D06F5"/>
    <w:rsid w:val="009D35F0"/>
    <w:rsid w:val="009D49C1"/>
    <w:rsid w:val="009E5ADE"/>
    <w:rsid w:val="009E5C49"/>
    <w:rsid w:val="009F194B"/>
    <w:rsid w:val="00A113AD"/>
    <w:rsid w:val="00A16B98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A5241"/>
    <w:rsid w:val="00AC1133"/>
    <w:rsid w:val="00AC5045"/>
    <w:rsid w:val="00AC5B1C"/>
    <w:rsid w:val="00AC7F05"/>
    <w:rsid w:val="00AE2294"/>
    <w:rsid w:val="00AE4940"/>
    <w:rsid w:val="00AE6AD4"/>
    <w:rsid w:val="00AF75F9"/>
    <w:rsid w:val="00B171BA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97CE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387E"/>
    <w:rsid w:val="00BD5D23"/>
    <w:rsid w:val="00BE1C49"/>
    <w:rsid w:val="00BE2BA8"/>
    <w:rsid w:val="00C10042"/>
    <w:rsid w:val="00C125C1"/>
    <w:rsid w:val="00C22462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33FF"/>
    <w:rsid w:val="00CF56D0"/>
    <w:rsid w:val="00D03DE0"/>
    <w:rsid w:val="00D4555A"/>
    <w:rsid w:val="00D47742"/>
    <w:rsid w:val="00D5618A"/>
    <w:rsid w:val="00D56A67"/>
    <w:rsid w:val="00D66E06"/>
    <w:rsid w:val="00D903D9"/>
    <w:rsid w:val="00D942B2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21BB"/>
    <w:rsid w:val="00E443FD"/>
    <w:rsid w:val="00E45157"/>
    <w:rsid w:val="00E54349"/>
    <w:rsid w:val="00E57447"/>
    <w:rsid w:val="00E576E4"/>
    <w:rsid w:val="00E645E3"/>
    <w:rsid w:val="00E67290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43C9"/>
    <w:rsid w:val="00F471E2"/>
    <w:rsid w:val="00F54777"/>
    <w:rsid w:val="00F641AA"/>
    <w:rsid w:val="00F725E4"/>
    <w:rsid w:val="00F80E9E"/>
    <w:rsid w:val="00F83C47"/>
    <w:rsid w:val="00F85C3B"/>
    <w:rsid w:val="00F96512"/>
    <w:rsid w:val="00FB5826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CDB78675-2FBF-443B-A612-FB47A76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8A2B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E36A-8562-42F5-BF72-2AE00A5F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250</TotalTime>
  <Pages>3</Pages>
  <Words>659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4</cp:revision>
  <cp:lastPrinted>2016-11-10T07:50:00Z</cp:lastPrinted>
  <dcterms:created xsi:type="dcterms:W3CDTF">2017-04-03T10:25:00Z</dcterms:created>
  <dcterms:modified xsi:type="dcterms:W3CDTF">2017-04-04T11:41:00Z</dcterms:modified>
</cp:coreProperties>
</file>